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AA68" w14:textId="77777777" w:rsidR="00660BE8" w:rsidRPr="00157954" w:rsidRDefault="00660BE8" w:rsidP="00660BE8">
      <w:pPr>
        <w:spacing w:before="110"/>
        <w:jc w:val="center"/>
        <w:rPr>
          <w:rFonts w:cstheme="minorHAnsi"/>
          <w:b/>
          <w:w w:val="90"/>
          <w:sz w:val="28"/>
          <w:szCs w:val="28"/>
        </w:rPr>
      </w:pPr>
      <w:bookmarkStart w:id="0" w:name="Public_Information_2023-24_The_Planning_"/>
      <w:bookmarkEnd w:id="0"/>
      <w:r w:rsidRPr="00157954">
        <w:rPr>
          <w:rFonts w:cstheme="minorHAnsi"/>
          <w:b/>
          <w:w w:val="90"/>
          <w:sz w:val="28"/>
          <w:szCs w:val="28"/>
        </w:rPr>
        <w:t>Urban and Regional Planning Program</w:t>
      </w:r>
    </w:p>
    <w:p w14:paraId="36173272" w14:textId="77777777" w:rsidR="00660BE8" w:rsidRPr="00157954" w:rsidRDefault="00660BE8" w:rsidP="00614CB7">
      <w:pPr>
        <w:spacing w:before="110"/>
        <w:jc w:val="center"/>
        <w:rPr>
          <w:rFonts w:cstheme="minorHAnsi"/>
          <w:b/>
          <w:sz w:val="28"/>
          <w:szCs w:val="28"/>
        </w:rPr>
      </w:pPr>
      <w:r w:rsidRPr="00157954">
        <w:rPr>
          <w:rFonts w:cstheme="minorHAnsi"/>
          <w:b/>
          <w:sz w:val="28"/>
          <w:szCs w:val="28"/>
        </w:rPr>
        <w:t>Michigan State University</w:t>
      </w:r>
    </w:p>
    <w:p w14:paraId="0EC18CE5" w14:textId="63C1AEB5" w:rsidR="0046641F" w:rsidRDefault="00000000" w:rsidP="00614CB7">
      <w:pPr>
        <w:spacing w:before="240"/>
        <w:ind w:left="385" w:right="404"/>
        <w:jc w:val="center"/>
        <w:rPr>
          <w:b/>
          <w:sz w:val="28"/>
        </w:rPr>
      </w:pPr>
      <w:r>
        <w:rPr>
          <w:b/>
          <w:sz w:val="28"/>
        </w:rPr>
        <w:t>Public Information 202</w:t>
      </w:r>
      <w:r w:rsidR="00AF6BAB">
        <w:rPr>
          <w:b/>
          <w:sz w:val="28"/>
        </w:rPr>
        <w:t>5-26</w:t>
      </w:r>
    </w:p>
    <w:p w14:paraId="2F9EBBB1" w14:textId="77777777" w:rsidR="00A14272" w:rsidRDefault="00A14272">
      <w:pPr>
        <w:spacing w:before="28" w:line="259" w:lineRule="auto"/>
        <w:ind w:left="385" w:right="405"/>
        <w:jc w:val="center"/>
        <w:rPr>
          <w:b/>
          <w:sz w:val="28"/>
        </w:rPr>
      </w:pPr>
    </w:p>
    <w:p w14:paraId="0EC18CE6" w14:textId="4E47B2AF" w:rsidR="0046641F" w:rsidRDefault="00000000">
      <w:pPr>
        <w:spacing w:before="28" w:line="259" w:lineRule="auto"/>
        <w:ind w:left="385" w:right="405"/>
        <w:jc w:val="center"/>
        <w:rPr>
          <w:b/>
          <w:sz w:val="28"/>
        </w:rPr>
      </w:pPr>
      <w:r>
        <w:rPr>
          <w:b/>
          <w:sz w:val="28"/>
        </w:rPr>
        <w:t xml:space="preserve">The Planning Accreditation Board requires this information be posted for the </w:t>
      </w:r>
      <w:r>
        <w:rPr>
          <w:b/>
          <w:i/>
          <w:sz w:val="28"/>
        </w:rPr>
        <w:t xml:space="preserve">Masters in Urban and Regional Planning </w:t>
      </w:r>
      <w:r>
        <w:rPr>
          <w:b/>
          <w:sz w:val="28"/>
        </w:rPr>
        <w:t>program.</w:t>
      </w:r>
    </w:p>
    <w:p w14:paraId="0EC18CE7" w14:textId="77777777" w:rsidR="0046641F" w:rsidRDefault="0046641F">
      <w:pPr>
        <w:pStyle w:val="BodyText"/>
        <w:rPr>
          <w:b/>
          <w:sz w:val="38"/>
        </w:rPr>
      </w:pPr>
    </w:p>
    <w:p w14:paraId="0EC18CE8" w14:textId="77777777" w:rsidR="0046641F" w:rsidRDefault="00000000">
      <w:pPr>
        <w:pStyle w:val="BodyText"/>
        <w:spacing w:before="0" w:line="259" w:lineRule="auto"/>
        <w:ind w:left="100" w:right="355" w:firstLine="5"/>
        <w:jc w:val="both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Urban</w:t>
      </w:r>
      <w:r>
        <w:rPr>
          <w:spacing w:val="-19"/>
          <w:w w:val="105"/>
        </w:rPr>
        <w:t xml:space="preserve"> </w:t>
      </w:r>
      <w:r>
        <w:rPr>
          <w:w w:val="105"/>
        </w:rPr>
        <w:t>&amp;</w:t>
      </w:r>
      <w:r>
        <w:rPr>
          <w:spacing w:val="-18"/>
          <w:w w:val="105"/>
        </w:rPr>
        <w:t xml:space="preserve"> </w:t>
      </w:r>
      <w:r>
        <w:rPr>
          <w:w w:val="105"/>
        </w:rPr>
        <w:t>Regional</w:t>
      </w:r>
      <w:r>
        <w:rPr>
          <w:spacing w:val="-18"/>
          <w:w w:val="105"/>
        </w:rPr>
        <w:t xml:space="preserve"> </w:t>
      </w:r>
      <w:r>
        <w:rPr>
          <w:w w:val="105"/>
        </w:rPr>
        <w:t>Planning</w:t>
      </w:r>
      <w:r>
        <w:rPr>
          <w:spacing w:val="-17"/>
          <w:w w:val="105"/>
        </w:rPr>
        <w:t xml:space="preserve"> </w:t>
      </w:r>
      <w:r>
        <w:rPr>
          <w:w w:val="105"/>
        </w:rPr>
        <w:t>Program</w:t>
      </w:r>
      <w:r>
        <w:rPr>
          <w:spacing w:val="-20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Michigan</w:t>
      </w:r>
      <w:r>
        <w:rPr>
          <w:spacing w:val="-19"/>
          <w:w w:val="105"/>
        </w:rPr>
        <w:t xml:space="preserve"> </w:t>
      </w:r>
      <w:r>
        <w:rPr>
          <w:w w:val="105"/>
        </w:rPr>
        <w:t>State</w:t>
      </w:r>
      <w:r>
        <w:rPr>
          <w:spacing w:val="-17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21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1946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offers</w:t>
      </w:r>
      <w:r>
        <w:rPr>
          <w:spacing w:val="-18"/>
          <w:w w:val="105"/>
        </w:rPr>
        <w:t xml:space="preserve"> </w:t>
      </w:r>
      <w:r>
        <w:rPr>
          <w:w w:val="105"/>
        </w:rPr>
        <w:t>a Bachelor of Urban and Regional Planning and a Master of Urban and Regional Planning. The Program provides a broad education at the undergraduate and graduate levels, with particular expertise in community development, environment and sustainability, real estate and housing, economic development,</w:t>
      </w:r>
      <w:r>
        <w:rPr>
          <w:spacing w:val="-27"/>
          <w:w w:val="105"/>
        </w:rPr>
        <w:t xml:space="preserve"> </w:t>
      </w:r>
      <w:r>
        <w:rPr>
          <w:w w:val="105"/>
        </w:rPr>
        <w:t>and</w:t>
      </w:r>
      <w:r>
        <w:rPr>
          <w:spacing w:val="-31"/>
          <w:w w:val="105"/>
        </w:rPr>
        <w:t xml:space="preserve"> </w:t>
      </w:r>
      <w:r>
        <w:rPr>
          <w:w w:val="105"/>
        </w:rPr>
        <w:t>transportation.</w:t>
      </w:r>
      <w:r>
        <w:rPr>
          <w:spacing w:val="-17"/>
          <w:w w:val="105"/>
        </w:rPr>
        <w:t xml:space="preserve"> </w:t>
      </w:r>
      <w:r>
        <w:rPr>
          <w:w w:val="105"/>
        </w:rPr>
        <w:t>Faculty</w:t>
      </w:r>
      <w:r>
        <w:rPr>
          <w:spacing w:val="-15"/>
          <w:w w:val="105"/>
        </w:rPr>
        <w:t xml:space="preserve"> </w:t>
      </w:r>
      <w:r>
        <w:rPr>
          <w:w w:val="105"/>
        </w:rPr>
        <w:t>members</w:t>
      </w:r>
      <w:r>
        <w:rPr>
          <w:spacing w:val="-26"/>
          <w:w w:val="105"/>
        </w:rPr>
        <w:t xml:space="preserve"> </w:t>
      </w:r>
      <w:r>
        <w:rPr>
          <w:w w:val="105"/>
        </w:rPr>
        <w:t>have</w:t>
      </w:r>
      <w:r>
        <w:rPr>
          <w:spacing w:val="-29"/>
          <w:w w:val="105"/>
        </w:rPr>
        <w:t xml:space="preserve"> </w:t>
      </w:r>
      <w:r>
        <w:rPr>
          <w:w w:val="105"/>
        </w:rPr>
        <w:t>strong</w:t>
      </w:r>
      <w:r>
        <w:rPr>
          <w:spacing w:val="-27"/>
          <w:w w:val="105"/>
        </w:rPr>
        <w:t xml:space="preserve"> </w:t>
      </w:r>
      <w:r>
        <w:rPr>
          <w:w w:val="105"/>
        </w:rPr>
        <w:t>academic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7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26"/>
          <w:w w:val="105"/>
        </w:rPr>
        <w:t xml:space="preserve"> </w:t>
      </w:r>
      <w:r>
        <w:rPr>
          <w:w w:val="105"/>
        </w:rPr>
        <w:t>backgrounds, offering a diverse range of perspectives on the practice of planning. The Program adopts a global focus and provides several international opportunities for students to study abroad, and to work with international students and faculty visiting the</w:t>
      </w:r>
      <w:r>
        <w:rPr>
          <w:spacing w:val="-27"/>
          <w:w w:val="105"/>
        </w:rPr>
        <w:t xml:space="preserve"> </w:t>
      </w:r>
      <w:r>
        <w:rPr>
          <w:w w:val="105"/>
        </w:rPr>
        <w:t>Program.</w:t>
      </w:r>
    </w:p>
    <w:p w14:paraId="0EC18CE9" w14:textId="77777777" w:rsidR="0046641F" w:rsidRDefault="00000000">
      <w:pPr>
        <w:pStyle w:val="Heading1"/>
        <w:spacing w:before="155"/>
        <w:jc w:val="both"/>
      </w:pPr>
      <w:r>
        <w:t>Student Achievement</w:t>
      </w:r>
    </w:p>
    <w:p w14:paraId="0EC18CEA" w14:textId="15E9C476" w:rsidR="0046641F" w:rsidRDefault="00000000">
      <w:pPr>
        <w:pStyle w:val="BodyText"/>
        <w:spacing w:before="22"/>
        <w:ind w:left="100" w:right="260" w:firstLine="15"/>
        <w:jc w:val="both"/>
      </w:pPr>
      <w:r>
        <w:rPr>
          <w:color w:val="010007"/>
        </w:rPr>
        <w:t xml:space="preserve">The program measures student learning and achievement through direct (tests, capstone projects, rubrics, </w:t>
      </w:r>
      <w:r>
        <w:rPr>
          <w:color w:val="010008"/>
        </w:rPr>
        <w:t>employer</w:t>
      </w:r>
      <w:r>
        <w:rPr>
          <w:color w:val="010008"/>
          <w:spacing w:val="-10"/>
        </w:rPr>
        <w:t xml:space="preserve"> </w:t>
      </w:r>
      <w:r>
        <w:rPr>
          <w:color w:val="010008"/>
        </w:rPr>
        <w:t>ratings,</w:t>
      </w:r>
      <w:r>
        <w:rPr>
          <w:color w:val="010008"/>
          <w:spacing w:val="-10"/>
        </w:rPr>
        <w:t xml:space="preserve"> </w:t>
      </w:r>
      <w:r>
        <w:rPr>
          <w:color w:val="010008"/>
        </w:rPr>
        <w:t>scores</w:t>
      </w:r>
      <w:r>
        <w:rPr>
          <w:color w:val="010008"/>
          <w:spacing w:val="1"/>
        </w:rPr>
        <w:t xml:space="preserve"> </w:t>
      </w:r>
      <w:r>
        <w:rPr>
          <w:color w:val="010008"/>
        </w:rPr>
        <w:t>and</w:t>
      </w:r>
      <w:r>
        <w:rPr>
          <w:color w:val="010008"/>
          <w:spacing w:val="-3"/>
        </w:rPr>
        <w:t xml:space="preserve"> </w:t>
      </w:r>
      <w:r>
        <w:rPr>
          <w:color w:val="010008"/>
        </w:rPr>
        <w:t>pass</w:t>
      </w:r>
      <w:r>
        <w:rPr>
          <w:color w:val="010008"/>
          <w:spacing w:val="-10"/>
        </w:rPr>
        <w:t xml:space="preserve"> </w:t>
      </w:r>
      <w:r>
        <w:rPr>
          <w:color w:val="010008"/>
        </w:rPr>
        <w:t>rates</w:t>
      </w:r>
      <w:r>
        <w:rPr>
          <w:color w:val="010008"/>
          <w:spacing w:val="-5"/>
        </w:rPr>
        <w:t xml:space="preserve"> </w:t>
      </w:r>
      <w:r>
        <w:rPr>
          <w:color w:val="010008"/>
        </w:rPr>
        <w:t>on</w:t>
      </w:r>
      <w:r>
        <w:rPr>
          <w:color w:val="010008"/>
          <w:spacing w:val="-3"/>
        </w:rPr>
        <w:t xml:space="preserve"> </w:t>
      </w:r>
      <w:r>
        <w:rPr>
          <w:color w:val="010008"/>
        </w:rPr>
        <w:t>licensure</w:t>
      </w:r>
      <w:r>
        <w:rPr>
          <w:color w:val="010008"/>
          <w:spacing w:val="-15"/>
        </w:rPr>
        <w:t xml:space="preserve"> </w:t>
      </w:r>
      <w:r>
        <w:rPr>
          <w:color w:val="010008"/>
        </w:rPr>
        <w:t>exams)</w:t>
      </w:r>
      <w:r>
        <w:rPr>
          <w:color w:val="010008"/>
          <w:spacing w:val="10"/>
        </w:rPr>
        <w:t xml:space="preserve"> </w:t>
      </w:r>
      <w:r>
        <w:rPr>
          <w:color w:val="010008"/>
        </w:rPr>
        <w:t>and</w:t>
      </w:r>
      <w:r>
        <w:rPr>
          <w:color w:val="010008"/>
          <w:spacing w:val="-7"/>
        </w:rPr>
        <w:t xml:space="preserve"> </w:t>
      </w:r>
      <w:r>
        <w:rPr>
          <w:color w:val="010008"/>
        </w:rPr>
        <w:t>indirect</w:t>
      </w:r>
      <w:r>
        <w:rPr>
          <w:color w:val="010008"/>
          <w:spacing w:val="2"/>
        </w:rPr>
        <w:t xml:space="preserve"> </w:t>
      </w:r>
      <w:r>
        <w:rPr>
          <w:color w:val="010008"/>
        </w:rPr>
        <w:t>(course</w:t>
      </w:r>
      <w:r>
        <w:rPr>
          <w:color w:val="010008"/>
          <w:spacing w:val="-4"/>
        </w:rPr>
        <w:t xml:space="preserve"> </w:t>
      </w:r>
      <w:r>
        <w:rPr>
          <w:color w:val="010008"/>
        </w:rPr>
        <w:t>grades,</w:t>
      </w:r>
      <w:r>
        <w:rPr>
          <w:color w:val="010008"/>
          <w:spacing w:val="-20"/>
        </w:rPr>
        <w:t xml:space="preserve"> </w:t>
      </w:r>
      <w:r>
        <w:rPr>
          <w:color w:val="010008"/>
        </w:rPr>
        <w:t>surveys,</w:t>
      </w:r>
      <w:r>
        <w:rPr>
          <w:color w:val="010008"/>
          <w:spacing w:val="-15"/>
        </w:rPr>
        <w:t xml:space="preserve"> </w:t>
      </w:r>
      <w:r>
        <w:rPr>
          <w:color w:val="010008"/>
        </w:rPr>
        <w:t>student</w:t>
      </w:r>
      <w:r>
        <w:rPr>
          <w:color w:val="010008"/>
          <w:spacing w:val="-7"/>
        </w:rPr>
        <w:t xml:space="preserve"> </w:t>
      </w:r>
      <w:r>
        <w:rPr>
          <w:color w:val="010008"/>
        </w:rPr>
        <w:t xml:space="preserve">self- </w:t>
      </w:r>
      <w:r>
        <w:rPr>
          <w:color w:val="010007"/>
        </w:rPr>
        <w:t>ratings, alumni satisfaction with learning) assessment methods. Our expectation is that upon graduation, students</w:t>
      </w:r>
      <w:r>
        <w:rPr>
          <w:color w:val="010007"/>
          <w:spacing w:val="-3"/>
        </w:rPr>
        <w:t xml:space="preserve"> </w:t>
      </w:r>
      <w:r>
        <w:rPr>
          <w:color w:val="010007"/>
        </w:rPr>
        <w:t>demonstrate</w:t>
      </w:r>
      <w:r>
        <w:rPr>
          <w:color w:val="010007"/>
          <w:spacing w:val="-15"/>
        </w:rPr>
        <w:t xml:space="preserve"> </w:t>
      </w:r>
      <w:r>
        <w:rPr>
          <w:color w:val="010007"/>
        </w:rPr>
        <w:t>mastery</w:t>
      </w:r>
      <w:r>
        <w:rPr>
          <w:color w:val="010007"/>
          <w:spacing w:val="-15"/>
        </w:rPr>
        <w:t xml:space="preserve"> </w:t>
      </w:r>
      <w:r>
        <w:rPr>
          <w:color w:val="010007"/>
        </w:rPr>
        <w:t>in</w:t>
      </w:r>
      <w:r>
        <w:rPr>
          <w:color w:val="010007"/>
          <w:spacing w:val="-18"/>
        </w:rPr>
        <w:t xml:space="preserve"> </w:t>
      </w:r>
      <w:r>
        <w:rPr>
          <w:color w:val="010007"/>
        </w:rPr>
        <w:t>knowledge,</w:t>
      </w:r>
      <w:r>
        <w:rPr>
          <w:color w:val="010007"/>
          <w:spacing w:val="-21"/>
        </w:rPr>
        <w:t xml:space="preserve"> </w:t>
      </w:r>
      <w:r>
        <w:rPr>
          <w:color w:val="010007"/>
        </w:rPr>
        <w:t>skills</w:t>
      </w:r>
      <w:r>
        <w:rPr>
          <w:color w:val="010007"/>
          <w:spacing w:val="-11"/>
        </w:rPr>
        <w:t xml:space="preserve"> </w:t>
      </w:r>
      <w:r>
        <w:rPr>
          <w:color w:val="010007"/>
          <w:spacing w:val="-3"/>
        </w:rPr>
        <w:t>and</w:t>
      </w:r>
      <w:r>
        <w:rPr>
          <w:color w:val="010007"/>
          <w:spacing w:val="-18"/>
        </w:rPr>
        <w:t xml:space="preserve"> </w:t>
      </w:r>
      <w:r>
        <w:rPr>
          <w:color w:val="010007"/>
        </w:rPr>
        <w:t>values</w:t>
      </w:r>
      <w:r>
        <w:rPr>
          <w:color w:val="010007"/>
          <w:spacing w:val="-15"/>
        </w:rPr>
        <w:t xml:space="preserve"> </w:t>
      </w:r>
      <w:r>
        <w:rPr>
          <w:color w:val="010007"/>
        </w:rPr>
        <w:t>of</w:t>
      </w:r>
      <w:r>
        <w:rPr>
          <w:color w:val="010007"/>
          <w:spacing w:val="-15"/>
        </w:rPr>
        <w:t xml:space="preserve"> </w:t>
      </w:r>
      <w:r>
        <w:rPr>
          <w:color w:val="010007"/>
        </w:rPr>
        <w:t>the</w:t>
      </w:r>
      <w:r>
        <w:rPr>
          <w:color w:val="010007"/>
          <w:spacing w:val="-17"/>
        </w:rPr>
        <w:t xml:space="preserve"> </w:t>
      </w:r>
      <w:r>
        <w:rPr>
          <w:color w:val="010007"/>
        </w:rPr>
        <w:t>planning</w:t>
      </w:r>
      <w:r>
        <w:rPr>
          <w:color w:val="010007"/>
          <w:spacing w:val="-15"/>
        </w:rPr>
        <w:t xml:space="preserve"> </w:t>
      </w:r>
      <w:r>
        <w:rPr>
          <w:color w:val="010007"/>
        </w:rPr>
        <w:t>profession</w:t>
      </w:r>
      <w:r>
        <w:rPr>
          <w:color w:val="010007"/>
          <w:spacing w:val="-13"/>
        </w:rPr>
        <w:t xml:space="preserve"> </w:t>
      </w:r>
      <w:r>
        <w:rPr>
          <w:color w:val="010007"/>
        </w:rPr>
        <w:t>preparing</w:t>
      </w:r>
      <w:r>
        <w:rPr>
          <w:color w:val="010007"/>
          <w:spacing w:val="-19"/>
        </w:rPr>
        <w:t xml:space="preserve"> </w:t>
      </w:r>
      <w:r>
        <w:rPr>
          <w:color w:val="010007"/>
        </w:rPr>
        <w:t>them</w:t>
      </w:r>
      <w:r>
        <w:rPr>
          <w:color w:val="010007"/>
          <w:spacing w:val="-19"/>
        </w:rPr>
        <w:t xml:space="preserve"> </w:t>
      </w:r>
      <w:r>
        <w:rPr>
          <w:color w:val="010007"/>
          <w:spacing w:val="-2"/>
        </w:rPr>
        <w:t>for</w:t>
      </w:r>
      <w:r>
        <w:rPr>
          <w:color w:val="010007"/>
          <w:spacing w:val="-11"/>
        </w:rPr>
        <w:t xml:space="preserve"> </w:t>
      </w:r>
      <w:r>
        <w:rPr>
          <w:color w:val="010007"/>
        </w:rPr>
        <w:t>an entry</w:t>
      </w:r>
      <w:r w:rsidR="00A147D5">
        <w:rPr>
          <w:color w:val="010007"/>
        </w:rPr>
        <w:t xml:space="preserve"> to mid</w:t>
      </w:r>
      <w:r>
        <w:rPr>
          <w:color w:val="010007"/>
        </w:rPr>
        <w:t xml:space="preserve">-level </w:t>
      </w:r>
      <w:r>
        <w:rPr>
          <w:color w:val="030108"/>
        </w:rPr>
        <w:t>position.</w:t>
      </w:r>
    </w:p>
    <w:p w14:paraId="0EC18CEB" w14:textId="77777777" w:rsidR="0046641F" w:rsidRDefault="0046641F">
      <w:pPr>
        <w:pStyle w:val="BodyText"/>
        <w:spacing w:before="2"/>
      </w:pPr>
    </w:p>
    <w:p w14:paraId="0EC18CEC" w14:textId="342B62BB" w:rsidR="0046641F" w:rsidRDefault="00000000">
      <w:pPr>
        <w:pStyle w:val="BodyText"/>
        <w:spacing w:before="1" w:line="259" w:lineRule="auto"/>
        <w:ind w:left="100" w:right="255"/>
      </w:pPr>
      <w:r>
        <w:t xml:space="preserve">The first measure is an objective evaluation by faculty members through the rubric systems, assessing the Program's Culminating Experience with emphasis on </w:t>
      </w:r>
      <w:r w:rsidR="000A5002" w:rsidRPr="00C340ED">
        <w:rPr>
          <w:rStyle w:val="Emphasis"/>
          <w:rFonts w:cstheme="minorHAnsi"/>
          <w:shd w:val="clear" w:color="auto" w:fill="FFFFFF"/>
        </w:rPr>
        <w:t>knowledge</w:t>
      </w:r>
      <w:r w:rsidR="000A5002" w:rsidRPr="00C340ED">
        <w:rPr>
          <w:rFonts w:cstheme="minorHAnsi"/>
          <w:shd w:val="clear" w:color="auto" w:fill="FFFFFF"/>
        </w:rPr>
        <w:t>, </w:t>
      </w:r>
      <w:r w:rsidR="000A5002" w:rsidRPr="00C340ED">
        <w:rPr>
          <w:rStyle w:val="Emphasis"/>
          <w:rFonts w:cstheme="minorHAnsi"/>
          <w:shd w:val="clear" w:color="auto" w:fill="FFFFFF"/>
        </w:rPr>
        <w:t>skills</w:t>
      </w:r>
      <w:r w:rsidR="000A5002" w:rsidRPr="00C340ED">
        <w:rPr>
          <w:rFonts w:cstheme="minorHAnsi"/>
          <w:shd w:val="clear" w:color="auto" w:fill="FFFFFF"/>
        </w:rPr>
        <w:t xml:space="preserve">, </w:t>
      </w:r>
      <w:r w:rsidR="000A5002" w:rsidRPr="00DB28DD">
        <w:rPr>
          <w:rFonts w:cstheme="minorHAnsi"/>
          <w:i/>
          <w:iCs/>
          <w:shd w:val="clear" w:color="auto" w:fill="FFFFFF"/>
        </w:rPr>
        <w:t>values</w:t>
      </w:r>
      <w:r w:rsidR="000A5002" w:rsidRPr="00C340ED">
        <w:rPr>
          <w:rFonts w:cstheme="minorHAnsi"/>
          <w:shd w:val="clear" w:color="auto" w:fill="FFFFFF"/>
        </w:rPr>
        <w:t>,</w:t>
      </w:r>
      <w:r w:rsidR="000A5002">
        <w:rPr>
          <w:rFonts w:cstheme="minorHAnsi"/>
          <w:shd w:val="clear" w:color="auto" w:fill="FFFFFF"/>
        </w:rPr>
        <w:t xml:space="preserve"> and</w:t>
      </w:r>
      <w:r w:rsidR="000A5002" w:rsidRPr="00C340ED">
        <w:rPr>
          <w:rFonts w:cstheme="minorHAnsi"/>
          <w:shd w:val="clear" w:color="auto" w:fill="FFFFFF"/>
        </w:rPr>
        <w:t xml:space="preserve"> competencies</w:t>
      </w:r>
      <w:r w:rsidR="000A5002">
        <w:rPr>
          <w:rFonts w:cstheme="minorHAnsi"/>
          <w:shd w:val="clear" w:color="auto" w:fill="FFFFFF"/>
        </w:rPr>
        <w:t xml:space="preserve"> in communication – both </w:t>
      </w:r>
      <w:r w:rsidR="000A5002" w:rsidRPr="00DB28DD">
        <w:rPr>
          <w:rFonts w:cstheme="minorHAnsi"/>
          <w:i/>
          <w:iCs/>
          <w:shd w:val="clear" w:color="auto" w:fill="FFFFFF"/>
        </w:rPr>
        <w:t>oral</w:t>
      </w:r>
      <w:r w:rsidR="000A5002">
        <w:rPr>
          <w:rFonts w:cstheme="minorHAnsi"/>
          <w:shd w:val="clear" w:color="auto" w:fill="FFFFFF"/>
        </w:rPr>
        <w:t xml:space="preserve"> and </w:t>
      </w:r>
      <w:r w:rsidR="000A5002" w:rsidRPr="00DB28DD">
        <w:rPr>
          <w:rFonts w:cstheme="minorHAnsi"/>
          <w:i/>
          <w:iCs/>
          <w:shd w:val="clear" w:color="auto" w:fill="FFFFFF"/>
        </w:rPr>
        <w:t>written</w:t>
      </w:r>
      <w:r w:rsidR="000A5002" w:rsidRPr="00C340ED">
        <w:rPr>
          <w:rFonts w:cstheme="minorHAnsi"/>
        </w:rPr>
        <w:t>. This evaluation tool has four levels</w:t>
      </w:r>
      <w:r w:rsidR="000A5002">
        <w:rPr>
          <w:rFonts w:cstheme="minorHAnsi"/>
        </w:rPr>
        <w:t xml:space="preserve"> of mastery</w:t>
      </w:r>
      <w:r w:rsidR="000A5002" w:rsidRPr="00C340ED">
        <w:rPr>
          <w:rFonts w:cstheme="minorHAnsi"/>
        </w:rPr>
        <w:t xml:space="preserve">, with LEVEL I </w:t>
      </w:r>
      <w:r w:rsidR="000A5002">
        <w:rPr>
          <w:rFonts w:cstheme="minorHAnsi"/>
        </w:rPr>
        <w:t xml:space="preserve">= Unacceptable, indicating </w:t>
      </w:r>
      <w:r w:rsidR="000A5002" w:rsidRPr="00C340ED">
        <w:rPr>
          <w:rFonts w:cstheme="minorHAnsi"/>
        </w:rPr>
        <w:t xml:space="preserve">being </w:t>
      </w:r>
      <w:r w:rsidR="000A5002">
        <w:rPr>
          <w:rFonts w:cstheme="minorHAnsi"/>
        </w:rPr>
        <w:t xml:space="preserve">a </w:t>
      </w:r>
      <w:r w:rsidR="000A5002" w:rsidRPr="00C340ED">
        <w:rPr>
          <w:rFonts w:cstheme="minorHAnsi"/>
        </w:rPr>
        <w:t>beginner in learning about the planning profession</w:t>
      </w:r>
      <w:r w:rsidR="000A5002">
        <w:rPr>
          <w:rFonts w:cstheme="minorHAnsi"/>
        </w:rPr>
        <w:t xml:space="preserve">; LEVEL 2 = Acceptable, indicating someone who willingly learns about the profession; LEVEL 3 = Good, indicating someone who has a self-motivated drive to learn and benefit the profession; </w:t>
      </w:r>
      <w:r w:rsidR="000A5002" w:rsidRPr="00C340ED">
        <w:rPr>
          <w:rFonts w:cstheme="minorHAnsi"/>
        </w:rPr>
        <w:t xml:space="preserve">and LEVEL </w:t>
      </w:r>
      <w:r w:rsidR="000A5002">
        <w:rPr>
          <w:rFonts w:cstheme="minorHAnsi"/>
        </w:rPr>
        <w:t>4 = Exemplary, indicating someone who is m</w:t>
      </w:r>
      <w:r w:rsidR="000A5002" w:rsidRPr="00C340ED">
        <w:rPr>
          <w:rFonts w:cstheme="minorHAnsi"/>
        </w:rPr>
        <w:t xml:space="preserve">astering </w:t>
      </w:r>
      <w:r w:rsidR="000A5002" w:rsidRPr="00C340ED">
        <w:rPr>
          <w:rStyle w:val="Emphasis"/>
          <w:rFonts w:cstheme="minorHAnsi"/>
          <w:shd w:val="clear" w:color="auto" w:fill="FFFFFF"/>
        </w:rPr>
        <w:t>knowledge</w:t>
      </w:r>
      <w:r w:rsidR="000A5002" w:rsidRPr="00C340ED">
        <w:rPr>
          <w:rFonts w:cstheme="minorHAnsi"/>
          <w:shd w:val="clear" w:color="auto" w:fill="FFFFFF"/>
        </w:rPr>
        <w:t>, </w:t>
      </w:r>
      <w:r w:rsidR="000A5002" w:rsidRPr="00C340ED">
        <w:rPr>
          <w:rStyle w:val="Emphasis"/>
          <w:rFonts w:cstheme="minorHAnsi"/>
          <w:shd w:val="clear" w:color="auto" w:fill="FFFFFF"/>
        </w:rPr>
        <w:t>skills</w:t>
      </w:r>
      <w:r w:rsidR="000A5002" w:rsidRPr="00C340ED">
        <w:rPr>
          <w:rFonts w:cstheme="minorHAnsi"/>
          <w:shd w:val="clear" w:color="auto" w:fill="FFFFFF"/>
        </w:rPr>
        <w:t xml:space="preserve">, </w:t>
      </w:r>
      <w:r w:rsidR="000A5002" w:rsidRPr="001F1262">
        <w:rPr>
          <w:rFonts w:cstheme="minorHAnsi"/>
          <w:i/>
          <w:iCs/>
          <w:shd w:val="clear" w:color="auto" w:fill="FFFFFF"/>
        </w:rPr>
        <w:t>values</w:t>
      </w:r>
      <w:r w:rsidR="000A5002" w:rsidRPr="00C340ED">
        <w:rPr>
          <w:rFonts w:cstheme="minorHAnsi"/>
          <w:shd w:val="clear" w:color="auto" w:fill="FFFFFF"/>
        </w:rPr>
        <w:t xml:space="preserve">, </w:t>
      </w:r>
      <w:r w:rsidR="000A5002">
        <w:rPr>
          <w:rFonts w:cstheme="minorHAnsi"/>
          <w:shd w:val="clear" w:color="auto" w:fill="FFFFFF"/>
        </w:rPr>
        <w:t xml:space="preserve">and </w:t>
      </w:r>
      <w:r w:rsidR="000A5002" w:rsidRPr="001F1262">
        <w:rPr>
          <w:rFonts w:cstheme="minorHAnsi"/>
          <w:i/>
          <w:iCs/>
          <w:shd w:val="clear" w:color="auto" w:fill="FFFFFF"/>
        </w:rPr>
        <w:t>competencies</w:t>
      </w:r>
      <w:r w:rsidR="000A5002" w:rsidRPr="00C340ED">
        <w:rPr>
          <w:rFonts w:cstheme="minorHAnsi"/>
          <w:shd w:val="clear" w:color="auto" w:fill="FFFFFF"/>
        </w:rPr>
        <w:t xml:space="preserve"> </w:t>
      </w:r>
      <w:r w:rsidR="000A5002" w:rsidRPr="00C340ED">
        <w:rPr>
          <w:rFonts w:cstheme="minorHAnsi"/>
        </w:rPr>
        <w:t>of the planning profession.</w:t>
      </w:r>
      <w:r w:rsidR="000A5002">
        <w:rPr>
          <w:rFonts w:cstheme="minorHAnsi"/>
        </w:rPr>
        <w:t xml:space="preserve">  Table 1 below shows the average LEVELs for the graduating class in 2025, tracked by student from when they entered the program.</w:t>
      </w:r>
    </w:p>
    <w:p w14:paraId="0EC18CED" w14:textId="475E75ED" w:rsidR="0046641F" w:rsidRDefault="00000000">
      <w:pPr>
        <w:pStyle w:val="Heading1"/>
        <w:spacing w:before="160"/>
        <w:jc w:val="both"/>
      </w:pPr>
      <w:r>
        <w:t>Average mastery level trends between the Incoming Class to Graduating Class in 202</w:t>
      </w:r>
      <w:r w:rsidR="00DE0AB8">
        <w:t>5</w:t>
      </w:r>
    </w:p>
    <w:p w14:paraId="0EC18CEE" w14:textId="77777777" w:rsidR="0046641F" w:rsidRDefault="0046641F">
      <w:pPr>
        <w:pStyle w:val="BodyText"/>
        <w:spacing w:before="9"/>
        <w:rPr>
          <w:b/>
          <w:sz w:val="14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4472"/>
        <w:gridCol w:w="2250"/>
        <w:gridCol w:w="2453"/>
      </w:tblGrid>
      <w:tr w:rsidR="00DE0AB8" w14:paraId="75460F03" w14:textId="77777777" w:rsidTr="00AF6BAB">
        <w:tc>
          <w:tcPr>
            <w:tcW w:w="4472" w:type="dxa"/>
          </w:tcPr>
          <w:p w14:paraId="4CB86B1C" w14:textId="77777777" w:rsidR="00DE0AB8" w:rsidRDefault="00DE0AB8" w:rsidP="00787A7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F1F4C0" w14:textId="77777777" w:rsidR="00DE0AB8" w:rsidRDefault="00DE0AB8" w:rsidP="00787A7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Incoming Class</w:t>
            </w:r>
            <w:r w:rsidRPr="00C608A4">
              <w:rPr>
                <w:rFonts w:cstheme="minorHAnsi"/>
                <w:sz w:val="24"/>
                <w:szCs w:val="24"/>
              </w:rPr>
              <w:t xml:space="preserve"> (N=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C608A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453" w:type="dxa"/>
          </w:tcPr>
          <w:p w14:paraId="324752F3" w14:textId="77777777" w:rsidR="00DE0AB8" w:rsidRDefault="00DE0AB8" w:rsidP="00787A7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Graduating Class</w:t>
            </w:r>
            <w:r w:rsidRPr="00C608A4">
              <w:rPr>
                <w:rFonts w:cstheme="minorHAnsi"/>
                <w:sz w:val="24"/>
                <w:szCs w:val="24"/>
              </w:rPr>
              <w:t xml:space="preserve"> (N=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C608A4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DE0AB8" w14:paraId="5D0AD38C" w14:textId="77777777" w:rsidTr="00AF6BAB">
        <w:tc>
          <w:tcPr>
            <w:tcW w:w="4472" w:type="dxa"/>
          </w:tcPr>
          <w:p w14:paraId="1BBAE505" w14:textId="77777777" w:rsidR="00DE0AB8" w:rsidRDefault="00DE0AB8" w:rsidP="00787A7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77F3">
              <w:rPr>
                <w:rFonts w:cstheme="minorHAnsi"/>
                <w:sz w:val="24"/>
                <w:szCs w:val="24"/>
              </w:rPr>
              <w:t>Knowledgeable planning practitioner</w:t>
            </w:r>
          </w:p>
        </w:tc>
        <w:tc>
          <w:tcPr>
            <w:tcW w:w="2250" w:type="dxa"/>
            <w:vAlign w:val="bottom"/>
          </w:tcPr>
          <w:p w14:paraId="6BF0BF44" w14:textId="77777777" w:rsidR="00DE0AB8" w:rsidRPr="00DA4C31" w:rsidRDefault="00DE0AB8" w:rsidP="00787A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2453" w:type="dxa"/>
            <w:vAlign w:val="bottom"/>
          </w:tcPr>
          <w:p w14:paraId="0DE6745D" w14:textId="77777777" w:rsidR="00DE0AB8" w:rsidRPr="00DA4C31" w:rsidRDefault="00DE0AB8" w:rsidP="00787A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3.9</w:t>
            </w:r>
          </w:p>
        </w:tc>
      </w:tr>
      <w:tr w:rsidR="00DE0AB8" w14:paraId="7D36E9E9" w14:textId="77777777" w:rsidTr="00AF6BAB">
        <w:tc>
          <w:tcPr>
            <w:tcW w:w="4472" w:type="dxa"/>
          </w:tcPr>
          <w:p w14:paraId="036291CE" w14:textId="77777777" w:rsidR="00DE0AB8" w:rsidRDefault="00DE0AB8" w:rsidP="00787A7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77F3">
              <w:rPr>
                <w:rFonts w:cstheme="minorHAnsi"/>
                <w:sz w:val="24"/>
                <w:szCs w:val="24"/>
              </w:rPr>
              <w:t xml:space="preserve">Value-driven team </w:t>
            </w:r>
            <w:r>
              <w:rPr>
                <w:rFonts w:cstheme="minorHAnsi"/>
                <w:sz w:val="24"/>
                <w:szCs w:val="24"/>
              </w:rPr>
              <w:t>member</w:t>
            </w:r>
          </w:p>
        </w:tc>
        <w:tc>
          <w:tcPr>
            <w:tcW w:w="2250" w:type="dxa"/>
            <w:vAlign w:val="bottom"/>
          </w:tcPr>
          <w:p w14:paraId="77804D8C" w14:textId="77777777" w:rsidR="00DE0AB8" w:rsidRPr="00DA4C31" w:rsidRDefault="00DE0AB8" w:rsidP="00787A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2453" w:type="dxa"/>
            <w:vAlign w:val="bottom"/>
          </w:tcPr>
          <w:p w14:paraId="102BD92A" w14:textId="77777777" w:rsidR="00DE0AB8" w:rsidRPr="00DA4C31" w:rsidRDefault="00DE0AB8" w:rsidP="00787A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3.9</w:t>
            </w:r>
          </w:p>
        </w:tc>
      </w:tr>
      <w:tr w:rsidR="00DE0AB8" w14:paraId="654DA82F" w14:textId="77777777" w:rsidTr="00AF6BAB">
        <w:tc>
          <w:tcPr>
            <w:tcW w:w="4472" w:type="dxa"/>
          </w:tcPr>
          <w:p w14:paraId="3EB87EB0" w14:textId="77777777" w:rsidR="00DE0AB8" w:rsidRDefault="00DE0AB8" w:rsidP="00787A7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41AEC">
              <w:rPr>
                <w:rFonts w:cstheme="minorHAnsi"/>
                <w:sz w:val="24"/>
                <w:szCs w:val="24"/>
              </w:rPr>
              <w:t>Effective communicator through writing</w:t>
            </w:r>
          </w:p>
        </w:tc>
        <w:tc>
          <w:tcPr>
            <w:tcW w:w="2250" w:type="dxa"/>
            <w:vAlign w:val="bottom"/>
          </w:tcPr>
          <w:p w14:paraId="46E10745" w14:textId="77777777" w:rsidR="00DE0AB8" w:rsidRPr="00DA4C31" w:rsidRDefault="00DE0AB8" w:rsidP="00787A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2453" w:type="dxa"/>
            <w:vAlign w:val="bottom"/>
          </w:tcPr>
          <w:p w14:paraId="41E0BA08" w14:textId="77777777" w:rsidR="00DE0AB8" w:rsidRPr="00DA4C31" w:rsidRDefault="00DE0AB8" w:rsidP="00787A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3.4</w:t>
            </w:r>
          </w:p>
        </w:tc>
      </w:tr>
      <w:tr w:rsidR="00DE0AB8" w14:paraId="721EA1FE" w14:textId="77777777" w:rsidTr="00AF6BAB">
        <w:tc>
          <w:tcPr>
            <w:tcW w:w="4472" w:type="dxa"/>
          </w:tcPr>
          <w:p w14:paraId="6F3A06C3" w14:textId="77777777" w:rsidR="00DE0AB8" w:rsidRDefault="00DE0AB8" w:rsidP="00787A7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77F3">
              <w:rPr>
                <w:rFonts w:cstheme="minorHAnsi"/>
                <w:sz w:val="24"/>
                <w:szCs w:val="24"/>
              </w:rPr>
              <w:t>Skillful professional</w:t>
            </w:r>
          </w:p>
        </w:tc>
        <w:tc>
          <w:tcPr>
            <w:tcW w:w="2250" w:type="dxa"/>
            <w:vAlign w:val="bottom"/>
          </w:tcPr>
          <w:p w14:paraId="20225211" w14:textId="77777777" w:rsidR="00DE0AB8" w:rsidRPr="00DA4C31" w:rsidRDefault="00DE0AB8" w:rsidP="00787A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1.9</w:t>
            </w:r>
          </w:p>
        </w:tc>
        <w:tc>
          <w:tcPr>
            <w:tcW w:w="2453" w:type="dxa"/>
            <w:vAlign w:val="bottom"/>
          </w:tcPr>
          <w:p w14:paraId="5FB306F4" w14:textId="77777777" w:rsidR="00DE0AB8" w:rsidRPr="00DA4C31" w:rsidRDefault="00DE0AB8" w:rsidP="00787A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3.6</w:t>
            </w:r>
          </w:p>
        </w:tc>
      </w:tr>
      <w:tr w:rsidR="00DE0AB8" w14:paraId="279989DF" w14:textId="77777777" w:rsidTr="00AF6BAB">
        <w:tc>
          <w:tcPr>
            <w:tcW w:w="4472" w:type="dxa"/>
          </w:tcPr>
          <w:p w14:paraId="1C3987EF" w14:textId="77777777" w:rsidR="00DE0AB8" w:rsidRDefault="00DE0AB8" w:rsidP="00787A7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Effective public engagement professional</w:t>
            </w:r>
          </w:p>
        </w:tc>
        <w:tc>
          <w:tcPr>
            <w:tcW w:w="2250" w:type="dxa"/>
            <w:vAlign w:val="bottom"/>
          </w:tcPr>
          <w:p w14:paraId="66209CA3" w14:textId="77777777" w:rsidR="00DE0AB8" w:rsidRPr="00DA4C31" w:rsidRDefault="00DE0AB8" w:rsidP="00787A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2453" w:type="dxa"/>
            <w:vAlign w:val="bottom"/>
          </w:tcPr>
          <w:p w14:paraId="0C25F7A1" w14:textId="77777777" w:rsidR="00DE0AB8" w:rsidRPr="00DA4C31" w:rsidRDefault="00DE0AB8" w:rsidP="00787A7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3.9</w:t>
            </w:r>
          </w:p>
        </w:tc>
      </w:tr>
    </w:tbl>
    <w:p w14:paraId="0EC18D07" w14:textId="77777777" w:rsidR="0046641F" w:rsidRDefault="0046641F">
      <w:pPr>
        <w:pStyle w:val="BodyText"/>
        <w:spacing w:before="10"/>
        <w:rPr>
          <w:b/>
          <w:sz w:val="23"/>
        </w:rPr>
      </w:pPr>
    </w:p>
    <w:p w14:paraId="6711039D" w14:textId="77777777" w:rsidR="00A14272" w:rsidRDefault="00A14272">
      <w:pPr>
        <w:rPr>
          <w:color w:val="010812"/>
          <w:spacing w:val="2"/>
          <w:sz w:val="24"/>
          <w:szCs w:val="24"/>
        </w:rPr>
      </w:pPr>
      <w:r>
        <w:rPr>
          <w:color w:val="010812"/>
          <w:spacing w:val="2"/>
        </w:rPr>
        <w:br w:type="page"/>
      </w:r>
    </w:p>
    <w:p w14:paraId="0EC18D08" w14:textId="77934027" w:rsidR="0046641F" w:rsidRDefault="00000000">
      <w:pPr>
        <w:pStyle w:val="BodyText"/>
        <w:spacing w:before="0"/>
        <w:ind w:left="100" w:right="266" w:firstLine="10"/>
        <w:jc w:val="both"/>
      </w:pPr>
      <w:r>
        <w:rPr>
          <w:color w:val="010812"/>
          <w:spacing w:val="2"/>
        </w:rPr>
        <w:lastRenderedPageBreak/>
        <w:t>The</w:t>
      </w:r>
      <w:r w:rsidR="00DE0AB8">
        <w:rPr>
          <w:color w:val="010812"/>
          <w:spacing w:val="2"/>
        </w:rPr>
        <w:t xml:space="preserve"> </w:t>
      </w:r>
      <w:r>
        <w:rPr>
          <w:color w:val="010812"/>
          <w:spacing w:val="2"/>
        </w:rPr>
        <w:t>second</w:t>
      </w:r>
      <w:r w:rsidR="00DE0AB8">
        <w:rPr>
          <w:color w:val="010812"/>
          <w:spacing w:val="2"/>
        </w:rPr>
        <w:t xml:space="preserve"> </w:t>
      </w:r>
      <w:r>
        <w:rPr>
          <w:color w:val="010812"/>
          <w:spacing w:val="2"/>
        </w:rPr>
        <w:t>measure</w:t>
      </w:r>
      <w:r w:rsidR="00DE0AB8">
        <w:rPr>
          <w:color w:val="010812"/>
          <w:spacing w:val="2"/>
        </w:rPr>
        <w:t xml:space="preserve"> </w:t>
      </w:r>
      <w:r>
        <w:rPr>
          <w:color w:val="010812"/>
          <w:spacing w:val="2"/>
        </w:rPr>
        <w:t>is</w:t>
      </w:r>
      <w:r w:rsidR="00DE0AB8">
        <w:rPr>
          <w:color w:val="010812"/>
          <w:spacing w:val="2"/>
        </w:rPr>
        <w:t xml:space="preserve"> </w:t>
      </w:r>
      <w:r>
        <w:rPr>
          <w:color w:val="010812"/>
          <w:spacing w:val="2"/>
        </w:rPr>
        <w:t>feedback from</w:t>
      </w:r>
      <w:r w:rsidR="00DE0AB8">
        <w:rPr>
          <w:color w:val="010812"/>
          <w:spacing w:val="2"/>
        </w:rPr>
        <w:t xml:space="preserve"> </w:t>
      </w:r>
      <w:r>
        <w:rPr>
          <w:color w:val="010812"/>
          <w:spacing w:val="2"/>
        </w:rPr>
        <w:t>our</w:t>
      </w:r>
      <w:r w:rsidR="00DE0AB8">
        <w:rPr>
          <w:color w:val="010812"/>
          <w:spacing w:val="2"/>
        </w:rPr>
        <w:t xml:space="preserve"> </w:t>
      </w:r>
      <w:r>
        <w:rPr>
          <w:color w:val="010812"/>
          <w:spacing w:val="2"/>
        </w:rPr>
        <w:t>capstone</w:t>
      </w:r>
      <w:r w:rsidR="00DE0AB8">
        <w:rPr>
          <w:color w:val="010812"/>
          <w:spacing w:val="2"/>
        </w:rPr>
        <w:t xml:space="preserve"> </w:t>
      </w:r>
      <w:r>
        <w:rPr>
          <w:color w:val="010812"/>
          <w:spacing w:val="2"/>
        </w:rPr>
        <w:t>clients,</w:t>
      </w:r>
      <w:r w:rsidR="00DE0AB8">
        <w:rPr>
          <w:color w:val="010812"/>
          <w:spacing w:val="2"/>
        </w:rPr>
        <w:t xml:space="preserve"> </w:t>
      </w:r>
      <w:r>
        <w:rPr>
          <w:color w:val="010812"/>
          <w:spacing w:val="2"/>
        </w:rPr>
        <w:t>who</w:t>
      </w:r>
      <w:r w:rsidR="00DE0AB8">
        <w:rPr>
          <w:color w:val="010812"/>
          <w:spacing w:val="2"/>
        </w:rPr>
        <w:t xml:space="preserve"> </w:t>
      </w:r>
      <w:r>
        <w:rPr>
          <w:color w:val="010812"/>
          <w:spacing w:val="2"/>
        </w:rPr>
        <w:t xml:space="preserve">are </w:t>
      </w:r>
      <w:r>
        <w:rPr>
          <w:color w:val="010812"/>
        </w:rPr>
        <w:t>qualified external</w:t>
      </w:r>
      <w:r w:rsidR="00DE0AB8">
        <w:rPr>
          <w:color w:val="010812"/>
        </w:rPr>
        <w:t xml:space="preserve"> </w:t>
      </w:r>
      <w:r>
        <w:rPr>
          <w:color w:val="010812"/>
        </w:rPr>
        <w:t>sources</w:t>
      </w:r>
      <w:r w:rsidR="00DE0AB8">
        <w:rPr>
          <w:color w:val="010812"/>
        </w:rPr>
        <w:t xml:space="preserve"> </w:t>
      </w:r>
      <w:r>
        <w:rPr>
          <w:color w:val="010812"/>
        </w:rPr>
        <w:t>that</w:t>
      </w:r>
      <w:r w:rsidR="00DE0AB8">
        <w:rPr>
          <w:color w:val="010812"/>
        </w:rPr>
        <w:t xml:space="preserve"> </w:t>
      </w:r>
      <w:r>
        <w:rPr>
          <w:color w:val="010812"/>
        </w:rPr>
        <w:t>provide</w:t>
      </w:r>
      <w:r w:rsidR="00DE0AB8">
        <w:rPr>
          <w:color w:val="010812"/>
        </w:rPr>
        <w:t xml:space="preserve"> </w:t>
      </w:r>
      <w:r>
        <w:rPr>
          <w:color w:val="010812"/>
        </w:rPr>
        <w:t xml:space="preserve">specific </w:t>
      </w:r>
      <w:r>
        <w:t>information about our program learning outcomes. Planning practicum is the capstone project in our curriculum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milestone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student's</w:t>
      </w:r>
      <w:r>
        <w:rPr>
          <w:spacing w:val="-12"/>
        </w:rPr>
        <w:t xml:space="preserve"> </w:t>
      </w:r>
      <w:r>
        <w:t>development.</w:t>
      </w:r>
      <w:r>
        <w:rPr>
          <w:spacing w:val="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knowledge,</w:t>
      </w:r>
      <w:r>
        <w:rPr>
          <w:spacing w:val="-16"/>
        </w:rPr>
        <w:t xml:space="preserve"> </w:t>
      </w:r>
      <w:r>
        <w:t xml:space="preserve">skills and values to </w:t>
      </w:r>
      <w:r>
        <w:rPr>
          <w:color w:val="010101"/>
        </w:rPr>
        <w:t>real world examples, they are evaluated by</w:t>
      </w:r>
      <w:r>
        <w:rPr>
          <w:color w:val="010101"/>
          <w:spacing w:val="-16"/>
        </w:rPr>
        <w:t xml:space="preserve"> </w:t>
      </w:r>
      <w:r>
        <w:rPr>
          <w:color w:val="010101"/>
        </w:rPr>
        <w:t>external</w:t>
      </w:r>
      <w:r w:rsidR="00DE0AB8">
        <w:rPr>
          <w:color w:val="010101"/>
        </w:rPr>
        <w:t xml:space="preserve"> </w:t>
      </w:r>
      <w:r>
        <w:rPr>
          <w:color w:val="010101"/>
        </w:rPr>
        <w:t>stakeholders.</w:t>
      </w:r>
    </w:p>
    <w:p w14:paraId="0EC18D09" w14:textId="77777777" w:rsidR="0046641F" w:rsidRDefault="0046641F">
      <w:pPr>
        <w:pStyle w:val="BodyText"/>
        <w:spacing w:before="8"/>
        <w:rPr>
          <w:sz w:val="32"/>
        </w:rPr>
      </w:pPr>
    </w:p>
    <w:p w14:paraId="0EC18D0A" w14:textId="53973C09" w:rsidR="0046641F" w:rsidRDefault="00000000">
      <w:pPr>
        <w:pStyle w:val="Heading1"/>
        <w:spacing w:before="1"/>
        <w:jc w:val="both"/>
      </w:pPr>
      <w:r>
        <w:t>Evaluation of mastery of the planning profession through capstone clients (202</w:t>
      </w:r>
      <w:r w:rsidR="00AF6BAB">
        <w:t>5</w:t>
      </w:r>
      <w:r>
        <w:t>)</w:t>
      </w:r>
    </w:p>
    <w:p w14:paraId="0EC18D0B" w14:textId="77777777" w:rsidR="0046641F" w:rsidRDefault="0046641F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1586"/>
        <w:gridCol w:w="1866"/>
        <w:gridCol w:w="1881"/>
        <w:gridCol w:w="1875"/>
      </w:tblGrid>
      <w:tr w:rsidR="0046641F" w14:paraId="0EC18D11" w14:textId="77777777">
        <w:trPr>
          <w:trHeight w:val="270"/>
        </w:trPr>
        <w:tc>
          <w:tcPr>
            <w:tcW w:w="2146" w:type="dxa"/>
          </w:tcPr>
          <w:p w14:paraId="0EC18D0C" w14:textId="77777777" w:rsidR="0046641F" w:rsidRDefault="00000000">
            <w:pPr>
              <w:pStyle w:val="TableParagraph"/>
              <w:spacing w:before="1" w:line="250" w:lineRule="exact"/>
              <w:ind w:left="470"/>
            </w:pPr>
            <w:r>
              <w:t>capstone</w:t>
            </w:r>
          </w:p>
        </w:tc>
        <w:tc>
          <w:tcPr>
            <w:tcW w:w="1586" w:type="dxa"/>
          </w:tcPr>
          <w:p w14:paraId="0EC18D0D" w14:textId="77777777" w:rsidR="0046641F" w:rsidRDefault="00000000">
            <w:pPr>
              <w:pStyle w:val="TableParagraph"/>
              <w:spacing w:before="1" w:line="250" w:lineRule="exact"/>
            </w:pPr>
            <w:r>
              <w:t>Weak</w:t>
            </w:r>
          </w:p>
        </w:tc>
        <w:tc>
          <w:tcPr>
            <w:tcW w:w="1866" w:type="dxa"/>
          </w:tcPr>
          <w:p w14:paraId="0EC18D0E" w14:textId="77777777" w:rsidR="0046641F" w:rsidRDefault="00000000">
            <w:pPr>
              <w:pStyle w:val="TableParagraph"/>
              <w:spacing w:before="1" w:line="250" w:lineRule="exact"/>
              <w:ind w:left="0" w:right="754"/>
              <w:jc w:val="right"/>
            </w:pPr>
            <w:r>
              <w:t>Acceptable</w:t>
            </w:r>
          </w:p>
        </w:tc>
        <w:tc>
          <w:tcPr>
            <w:tcW w:w="1881" w:type="dxa"/>
          </w:tcPr>
          <w:p w14:paraId="0EC18D0F" w14:textId="77777777" w:rsidR="0046641F" w:rsidRDefault="00000000">
            <w:pPr>
              <w:pStyle w:val="TableParagraph"/>
              <w:spacing w:before="1" w:line="250" w:lineRule="exact"/>
              <w:ind w:left="87" w:right="162"/>
              <w:jc w:val="center"/>
            </w:pPr>
            <w:r>
              <w:t>Semi professional</w:t>
            </w:r>
          </w:p>
        </w:tc>
        <w:tc>
          <w:tcPr>
            <w:tcW w:w="1875" w:type="dxa"/>
          </w:tcPr>
          <w:p w14:paraId="0EC18D10" w14:textId="77777777" w:rsidR="0046641F" w:rsidRDefault="00000000">
            <w:pPr>
              <w:pStyle w:val="TableParagraph"/>
              <w:spacing w:before="1" w:line="250" w:lineRule="exact"/>
              <w:ind w:left="0" w:right="668"/>
              <w:jc w:val="right"/>
            </w:pPr>
            <w:r>
              <w:t>Professional</w:t>
            </w:r>
          </w:p>
        </w:tc>
      </w:tr>
      <w:tr w:rsidR="0046641F" w14:paraId="0EC18D17" w14:textId="77777777">
        <w:trPr>
          <w:trHeight w:val="270"/>
        </w:trPr>
        <w:tc>
          <w:tcPr>
            <w:tcW w:w="2146" w:type="dxa"/>
          </w:tcPr>
          <w:p w14:paraId="0EC18D12" w14:textId="77777777" w:rsidR="0046641F" w:rsidRDefault="00000000">
            <w:pPr>
              <w:pStyle w:val="TableParagraph"/>
            </w:pPr>
            <w:r>
              <w:t>Quality of research</w:t>
            </w:r>
          </w:p>
        </w:tc>
        <w:tc>
          <w:tcPr>
            <w:tcW w:w="1586" w:type="dxa"/>
          </w:tcPr>
          <w:p w14:paraId="0EC18D13" w14:textId="77777777" w:rsidR="0046641F" w:rsidRDefault="00000000">
            <w:pPr>
              <w:pStyle w:val="TableParagraph"/>
              <w:ind w:left="0" w:right="648"/>
              <w:jc w:val="right"/>
            </w:pPr>
            <w:r>
              <w:t>0%</w:t>
            </w:r>
          </w:p>
        </w:tc>
        <w:tc>
          <w:tcPr>
            <w:tcW w:w="1866" w:type="dxa"/>
          </w:tcPr>
          <w:p w14:paraId="0EC18D14" w14:textId="77777777" w:rsidR="0046641F" w:rsidRDefault="00000000">
            <w:pPr>
              <w:pStyle w:val="TableParagraph"/>
              <w:ind w:left="0" w:right="793"/>
              <w:jc w:val="right"/>
            </w:pPr>
            <w:r>
              <w:t>0%</w:t>
            </w:r>
          </w:p>
        </w:tc>
        <w:tc>
          <w:tcPr>
            <w:tcW w:w="1881" w:type="dxa"/>
          </w:tcPr>
          <w:p w14:paraId="0EC18D15" w14:textId="77777777" w:rsidR="0046641F" w:rsidRDefault="00000000">
            <w:pPr>
              <w:pStyle w:val="TableParagraph"/>
              <w:ind w:left="87" w:right="82"/>
              <w:jc w:val="center"/>
            </w:pPr>
            <w:r>
              <w:t>10%</w:t>
            </w:r>
          </w:p>
        </w:tc>
        <w:tc>
          <w:tcPr>
            <w:tcW w:w="1875" w:type="dxa"/>
          </w:tcPr>
          <w:p w14:paraId="0EC18D16" w14:textId="77777777" w:rsidR="0046641F" w:rsidRDefault="00000000">
            <w:pPr>
              <w:pStyle w:val="TableParagraph"/>
              <w:ind w:left="0" w:right="741"/>
              <w:jc w:val="right"/>
            </w:pPr>
            <w:r>
              <w:t>90%</w:t>
            </w:r>
          </w:p>
        </w:tc>
      </w:tr>
      <w:tr w:rsidR="0046641F" w14:paraId="0EC18D1D" w14:textId="77777777">
        <w:trPr>
          <w:trHeight w:val="264"/>
        </w:trPr>
        <w:tc>
          <w:tcPr>
            <w:tcW w:w="2146" w:type="dxa"/>
          </w:tcPr>
          <w:p w14:paraId="0EC18D18" w14:textId="77777777" w:rsidR="0046641F" w:rsidRDefault="00000000">
            <w:pPr>
              <w:pStyle w:val="TableParagraph"/>
              <w:spacing w:line="245" w:lineRule="exact"/>
            </w:pPr>
            <w:r>
              <w:t>Visual presentation</w:t>
            </w:r>
          </w:p>
        </w:tc>
        <w:tc>
          <w:tcPr>
            <w:tcW w:w="1586" w:type="dxa"/>
          </w:tcPr>
          <w:p w14:paraId="0EC18D19" w14:textId="77777777" w:rsidR="0046641F" w:rsidRDefault="00000000">
            <w:pPr>
              <w:pStyle w:val="TableParagraph"/>
              <w:spacing w:line="245" w:lineRule="exact"/>
              <w:ind w:left="0" w:right="648"/>
              <w:jc w:val="right"/>
            </w:pPr>
            <w:r>
              <w:t>0%</w:t>
            </w:r>
          </w:p>
        </w:tc>
        <w:tc>
          <w:tcPr>
            <w:tcW w:w="1866" w:type="dxa"/>
          </w:tcPr>
          <w:p w14:paraId="0EC18D1A" w14:textId="77777777" w:rsidR="0046641F" w:rsidRDefault="00000000">
            <w:pPr>
              <w:pStyle w:val="TableParagraph"/>
              <w:spacing w:line="245" w:lineRule="exact"/>
              <w:ind w:left="0" w:right="792"/>
              <w:jc w:val="right"/>
            </w:pPr>
            <w:r>
              <w:t>3%</w:t>
            </w:r>
          </w:p>
        </w:tc>
        <w:tc>
          <w:tcPr>
            <w:tcW w:w="1881" w:type="dxa"/>
          </w:tcPr>
          <w:p w14:paraId="0EC18D1B" w14:textId="77777777" w:rsidR="0046641F" w:rsidRDefault="00000000">
            <w:pPr>
              <w:pStyle w:val="TableParagraph"/>
              <w:spacing w:line="245" w:lineRule="exact"/>
              <w:ind w:left="87" w:right="82"/>
              <w:jc w:val="center"/>
            </w:pPr>
            <w:r>
              <w:t>17%</w:t>
            </w:r>
          </w:p>
        </w:tc>
        <w:tc>
          <w:tcPr>
            <w:tcW w:w="1875" w:type="dxa"/>
          </w:tcPr>
          <w:p w14:paraId="0EC18D1C" w14:textId="77777777" w:rsidR="0046641F" w:rsidRDefault="00000000">
            <w:pPr>
              <w:pStyle w:val="TableParagraph"/>
              <w:spacing w:line="245" w:lineRule="exact"/>
              <w:ind w:left="0" w:right="741"/>
              <w:jc w:val="right"/>
            </w:pPr>
            <w:r>
              <w:t>80%</w:t>
            </w:r>
          </w:p>
        </w:tc>
      </w:tr>
      <w:tr w:rsidR="0046641F" w14:paraId="0EC18D24" w14:textId="77777777">
        <w:trPr>
          <w:trHeight w:val="540"/>
        </w:trPr>
        <w:tc>
          <w:tcPr>
            <w:tcW w:w="2146" w:type="dxa"/>
          </w:tcPr>
          <w:p w14:paraId="0EC18D1E" w14:textId="77777777" w:rsidR="0046641F" w:rsidRDefault="00000000">
            <w:pPr>
              <w:pStyle w:val="TableParagraph"/>
              <w:spacing w:line="240" w:lineRule="auto"/>
            </w:pPr>
            <w:r>
              <w:t>Public speaking and</w:t>
            </w:r>
          </w:p>
          <w:p w14:paraId="0EC18D1F" w14:textId="77777777" w:rsidR="0046641F" w:rsidRDefault="00000000">
            <w:pPr>
              <w:pStyle w:val="TableParagraph"/>
              <w:spacing w:before="2"/>
            </w:pPr>
            <w:r>
              <w:t>professionalism</w:t>
            </w:r>
          </w:p>
        </w:tc>
        <w:tc>
          <w:tcPr>
            <w:tcW w:w="1586" w:type="dxa"/>
          </w:tcPr>
          <w:p w14:paraId="0EC18D20" w14:textId="77777777" w:rsidR="0046641F" w:rsidRDefault="00000000">
            <w:pPr>
              <w:pStyle w:val="TableParagraph"/>
              <w:spacing w:line="240" w:lineRule="auto"/>
              <w:ind w:left="0" w:right="648"/>
              <w:jc w:val="right"/>
            </w:pPr>
            <w:r>
              <w:t>0%</w:t>
            </w:r>
          </w:p>
        </w:tc>
        <w:tc>
          <w:tcPr>
            <w:tcW w:w="1866" w:type="dxa"/>
          </w:tcPr>
          <w:p w14:paraId="0EC18D21" w14:textId="77777777" w:rsidR="0046641F" w:rsidRDefault="00000000">
            <w:pPr>
              <w:pStyle w:val="TableParagraph"/>
              <w:spacing w:line="240" w:lineRule="auto"/>
              <w:ind w:left="0" w:right="792"/>
              <w:jc w:val="right"/>
            </w:pPr>
            <w:r>
              <w:t>5%</w:t>
            </w:r>
          </w:p>
        </w:tc>
        <w:tc>
          <w:tcPr>
            <w:tcW w:w="1881" w:type="dxa"/>
          </w:tcPr>
          <w:p w14:paraId="0EC18D22" w14:textId="77777777" w:rsidR="0046641F" w:rsidRDefault="00000000">
            <w:pPr>
              <w:pStyle w:val="TableParagraph"/>
              <w:spacing w:line="240" w:lineRule="auto"/>
              <w:ind w:left="87" w:right="82"/>
              <w:jc w:val="center"/>
            </w:pPr>
            <w:r>
              <w:t>30%</w:t>
            </w:r>
          </w:p>
        </w:tc>
        <w:tc>
          <w:tcPr>
            <w:tcW w:w="1875" w:type="dxa"/>
          </w:tcPr>
          <w:p w14:paraId="0EC18D23" w14:textId="77777777" w:rsidR="0046641F" w:rsidRDefault="00000000">
            <w:pPr>
              <w:pStyle w:val="TableParagraph"/>
              <w:spacing w:line="240" w:lineRule="auto"/>
              <w:ind w:left="0" w:right="741"/>
              <w:jc w:val="right"/>
            </w:pPr>
            <w:r>
              <w:t>65%</w:t>
            </w:r>
          </w:p>
        </w:tc>
      </w:tr>
    </w:tbl>
    <w:p w14:paraId="698DDEF5" w14:textId="77777777" w:rsidR="0046641F" w:rsidRDefault="00000000" w:rsidP="00AF6BAB">
      <w:pPr>
        <w:spacing w:before="1"/>
        <w:ind w:left="381" w:right="405"/>
        <w:jc w:val="center"/>
        <w:rPr>
          <w:i/>
          <w:sz w:val="24"/>
        </w:rPr>
      </w:pPr>
      <w:r>
        <w:rPr>
          <w:i/>
          <w:sz w:val="24"/>
        </w:rPr>
        <w:t>N=29; the capstone is taught jointly with undergraduate and graduate students</w:t>
      </w:r>
    </w:p>
    <w:p w14:paraId="3443CE84" w14:textId="77777777" w:rsidR="00AF6BAB" w:rsidRDefault="00AF6BAB" w:rsidP="00AF6BAB">
      <w:pPr>
        <w:spacing w:before="1"/>
        <w:ind w:left="381" w:right="405"/>
        <w:jc w:val="center"/>
        <w:rPr>
          <w:i/>
          <w:sz w:val="24"/>
        </w:rPr>
      </w:pPr>
    </w:p>
    <w:p w14:paraId="13FA2991" w14:textId="77777777" w:rsidR="00AF6BAB" w:rsidRDefault="00AF6BAB" w:rsidP="00AF6BAB">
      <w:pPr>
        <w:spacing w:before="1"/>
        <w:ind w:left="381" w:right="405"/>
        <w:jc w:val="center"/>
        <w:rPr>
          <w:i/>
          <w:sz w:val="24"/>
        </w:rPr>
      </w:pPr>
    </w:p>
    <w:p w14:paraId="087E1D84" w14:textId="77777777" w:rsidR="00AF6BAB" w:rsidRDefault="00AF6BAB" w:rsidP="00AF6BAB">
      <w:pPr>
        <w:spacing w:before="1"/>
        <w:ind w:left="381" w:right="405"/>
        <w:jc w:val="center"/>
        <w:rPr>
          <w:i/>
          <w:sz w:val="24"/>
        </w:rPr>
      </w:pPr>
    </w:p>
    <w:p w14:paraId="693F1835" w14:textId="77777777" w:rsidR="00AF6BAB" w:rsidRPr="00C85C75" w:rsidRDefault="00AF6BAB" w:rsidP="00AF6BAB">
      <w:pPr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25</w:t>
      </w:r>
      <w:r w:rsidRPr="00C85C75">
        <w:rPr>
          <w:b/>
          <w:bCs/>
          <w:sz w:val="24"/>
          <w:szCs w:val="24"/>
        </w:rPr>
        <w:t>-202</w:t>
      </w:r>
      <w:r>
        <w:rPr>
          <w:b/>
          <w:bCs/>
          <w:sz w:val="24"/>
          <w:szCs w:val="24"/>
        </w:rPr>
        <w:t>6</w:t>
      </w:r>
      <w:r w:rsidRPr="00C85C75">
        <w:rPr>
          <w:b/>
          <w:bCs/>
          <w:sz w:val="24"/>
          <w:szCs w:val="24"/>
        </w:rPr>
        <w:t xml:space="preserve"> Tuition and Fees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445"/>
        <w:gridCol w:w="1350"/>
      </w:tblGrid>
      <w:tr w:rsidR="00AF6BAB" w:rsidRPr="00C85C75" w14:paraId="553AF747" w14:textId="77777777" w:rsidTr="00A02D40">
        <w:tc>
          <w:tcPr>
            <w:tcW w:w="9445" w:type="dxa"/>
          </w:tcPr>
          <w:p w14:paraId="34909F7E" w14:textId="77777777" w:rsidR="00AF6BAB" w:rsidRPr="00C85C75" w:rsidRDefault="00AF6BAB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In State Residents, per full-time academic year</w:t>
            </w:r>
          </w:p>
        </w:tc>
        <w:tc>
          <w:tcPr>
            <w:tcW w:w="1350" w:type="dxa"/>
          </w:tcPr>
          <w:p w14:paraId="2B437061" w14:textId="77777777" w:rsidR="00AF6BAB" w:rsidRPr="00C85C75" w:rsidRDefault="00AF6BAB" w:rsidP="00A02D40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20,600</w:t>
            </w:r>
          </w:p>
        </w:tc>
      </w:tr>
      <w:tr w:rsidR="00AF6BAB" w:rsidRPr="00C85C75" w14:paraId="091FFFC5" w14:textId="77777777" w:rsidTr="00A02D40">
        <w:tc>
          <w:tcPr>
            <w:tcW w:w="9445" w:type="dxa"/>
          </w:tcPr>
          <w:p w14:paraId="522D47EB" w14:textId="77777777" w:rsidR="00AF6BAB" w:rsidRPr="00C85C75" w:rsidRDefault="00AF6BAB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Out of State Residents, per full-time academic year</w:t>
            </w:r>
          </w:p>
        </w:tc>
        <w:tc>
          <w:tcPr>
            <w:tcW w:w="1350" w:type="dxa"/>
          </w:tcPr>
          <w:p w14:paraId="2E2CD624" w14:textId="77777777" w:rsidR="00AF6BAB" w:rsidRPr="00C85C75" w:rsidRDefault="00AF6BAB" w:rsidP="00A02D40">
            <w:pPr>
              <w:jc w:val="center"/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39,030</w:t>
            </w:r>
          </w:p>
        </w:tc>
      </w:tr>
    </w:tbl>
    <w:p w14:paraId="2BA3D021" w14:textId="77777777" w:rsidR="00AF6BAB" w:rsidRPr="00C85C75" w:rsidRDefault="00AF6BAB" w:rsidP="00AF6BAB"/>
    <w:p w14:paraId="4674583B" w14:textId="77777777" w:rsidR="00AF6BAB" w:rsidRPr="00C85C75" w:rsidRDefault="00AF6BAB" w:rsidP="00AF6BAB">
      <w:pPr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Student Retention Rate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445"/>
        <w:gridCol w:w="1350"/>
      </w:tblGrid>
      <w:tr w:rsidR="00AF6BAB" w:rsidRPr="00C85C75" w14:paraId="1F9D9D16" w14:textId="77777777" w:rsidTr="00A02D40">
        <w:tc>
          <w:tcPr>
            <w:tcW w:w="9445" w:type="dxa"/>
          </w:tcPr>
          <w:p w14:paraId="7869ABE4" w14:textId="77777777" w:rsidR="00AF6BAB" w:rsidRPr="00C85C75" w:rsidRDefault="00AF6BAB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Percentage of students who began studies in fall 20</w:t>
            </w:r>
            <w:r>
              <w:rPr>
                <w:sz w:val="24"/>
                <w:szCs w:val="24"/>
              </w:rPr>
              <w:t>24</w:t>
            </w:r>
            <w:r w:rsidRPr="00C85C75">
              <w:rPr>
                <w:sz w:val="24"/>
                <w:szCs w:val="24"/>
              </w:rPr>
              <w:t xml:space="preserve"> and continued into fall 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350" w:type="dxa"/>
          </w:tcPr>
          <w:p w14:paraId="08F44F94" w14:textId="77777777" w:rsidR="00AF6BAB" w:rsidRPr="00C85C75" w:rsidRDefault="00AF6BAB" w:rsidP="00A02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C85C75">
              <w:rPr>
                <w:sz w:val="24"/>
                <w:szCs w:val="24"/>
              </w:rPr>
              <w:t>%</w:t>
            </w:r>
          </w:p>
        </w:tc>
      </w:tr>
    </w:tbl>
    <w:p w14:paraId="7CA010EE" w14:textId="77777777" w:rsidR="00AF6BAB" w:rsidRPr="00C85C75" w:rsidRDefault="00AF6BAB" w:rsidP="00AF6BAB">
      <w:pPr>
        <w:rPr>
          <w:sz w:val="24"/>
          <w:szCs w:val="24"/>
        </w:rPr>
      </w:pPr>
    </w:p>
    <w:p w14:paraId="23B686A7" w14:textId="77777777" w:rsidR="00AF6BAB" w:rsidRPr="00C85C75" w:rsidRDefault="00AF6BAB" w:rsidP="00AF6BAB">
      <w:pPr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Student Graduation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AF6BAB" w:rsidRPr="00C85C75" w14:paraId="28A8FB41" w14:textId="77777777" w:rsidTr="00A02D40">
        <w:tc>
          <w:tcPr>
            <w:tcW w:w="9445" w:type="dxa"/>
          </w:tcPr>
          <w:p w14:paraId="2C5888D0" w14:textId="77777777" w:rsidR="00AF6BAB" w:rsidRPr="00C85C75" w:rsidRDefault="00AF6BAB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Percentage of students graduating within 4 years, entering class of 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5B856CBA" w14:textId="77777777" w:rsidR="00AF6BAB" w:rsidRPr="00C85C75" w:rsidRDefault="00AF6BAB" w:rsidP="00A02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C85C75">
              <w:rPr>
                <w:sz w:val="24"/>
                <w:szCs w:val="24"/>
              </w:rPr>
              <w:t>%</w:t>
            </w:r>
          </w:p>
        </w:tc>
      </w:tr>
    </w:tbl>
    <w:p w14:paraId="75BBC4BA" w14:textId="77777777" w:rsidR="00AF6BAB" w:rsidRPr="00C85C75" w:rsidRDefault="00AF6BAB" w:rsidP="00AF6BAB">
      <w:pPr>
        <w:rPr>
          <w:sz w:val="24"/>
          <w:szCs w:val="24"/>
        </w:rPr>
      </w:pPr>
    </w:p>
    <w:p w14:paraId="3F7704CA" w14:textId="77777777" w:rsidR="00AF6BAB" w:rsidRPr="00C85C75" w:rsidRDefault="00AF6BAB" w:rsidP="00AF6BAB">
      <w:pPr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Number of Degrees Awarded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AF6BAB" w:rsidRPr="00C85C75" w14:paraId="09CD0FCF" w14:textId="77777777" w:rsidTr="00A02D40">
        <w:tc>
          <w:tcPr>
            <w:tcW w:w="9445" w:type="dxa"/>
          </w:tcPr>
          <w:p w14:paraId="53FF7E8A" w14:textId="77777777" w:rsidR="00AF6BAB" w:rsidRPr="00C85C75" w:rsidRDefault="00AF6BAB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>Number of degrees awarded for 20</w:t>
            </w:r>
            <w:r>
              <w:rPr>
                <w:sz w:val="24"/>
                <w:szCs w:val="24"/>
              </w:rPr>
              <w:t>24</w:t>
            </w:r>
            <w:r w:rsidRPr="00C85C7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 xml:space="preserve">25 </w:t>
            </w:r>
            <w:r w:rsidRPr="00C85C75">
              <w:rPr>
                <w:sz w:val="24"/>
                <w:szCs w:val="24"/>
              </w:rPr>
              <w:t>Academic Year</w:t>
            </w:r>
          </w:p>
        </w:tc>
        <w:tc>
          <w:tcPr>
            <w:tcW w:w="1345" w:type="dxa"/>
          </w:tcPr>
          <w:p w14:paraId="0BA66714" w14:textId="77777777" w:rsidR="00AF6BAB" w:rsidRPr="00C85C75" w:rsidRDefault="00AF6BAB" w:rsidP="00A02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1AE42BC1" w14:textId="77777777" w:rsidR="00AF6BAB" w:rsidRPr="00C85C75" w:rsidRDefault="00AF6BAB" w:rsidP="00AF6BAB">
      <w:pPr>
        <w:rPr>
          <w:sz w:val="24"/>
          <w:szCs w:val="24"/>
        </w:rPr>
      </w:pPr>
    </w:p>
    <w:p w14:paraId="3E6F3D64" w14:textId="77777777" w:rsidR="00AF6BAB" w:rsidRPr="00C85C75" w:rsidRDefault="00AF6BAB" w:rsidP="00AF6BAB">
      <w:pPr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 xml:space="preserve">AICP </w:t>
      </w:r>
      <w:r>
        <w:rPr>
          <w:b/>
          <w:bCs/>
          <w:sz w:val="24"/>
          <w:szCs w:val="24"/>
        </w:rPr>
        <w:t>Pass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AF6BAB" w:rsidRPr="00C85C75" w14:paraId="6CEF694D" w14:textId="77777777" w:rsidTr="00A02D40">
        <w:tc>
          <w:tcPr>
            <w:tcW w:w="9445" w:type="dxa"/>
          </w:tcPr>
          <w:p w14:paraId="4C92FA99" w14:textId="77777777" w:rsidR="00AF6BAB" w:rsidRPr="00C85C75" w:rsidRDefault="00AF6BAB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 xml:space="preserve">Percentage of master’s graduates taking the AICP exam within </w:t>
            </w:r>
            <w:r>
              <w:rPr>
                <w:sz w:val="24"/>
                <w:szCs w:val="24"/>
              </w:rPr>
              <w:t>3</w:t>
            </w:r>
            <w:r w:rsidRPr="00C85C75">
              <w:rPr>
                <w:sz w:val="24"/>
                <w:szCs w:val="24"/>
              </w:rPr>
              <w:t xml:space="preserve"> years who pass, graduating class of 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345" w:type="dxa"/>
          </w:tcPr>
          <w:p w14:paraId="3DA48E2F" w14:textId="28542D02" w:rsidR="00AF6BAB" w:rsidRPr="00C85C75" w:rsidRDefault="009414E6" w:rsidP="00A02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AF6BAB" w:rsidRPr="00C85C75">
              <w:rPr>
                <w:sz w:val="24"/>
                <w:szCs w:val="24"/>
              </w:rPr>
              <w:t>%</w:t>
            </w:r>
          </w:p>
        </w:tc>
      </w:tr>
    </w:tbl>
    <w:p w14:paraId="37A7B312" w14:textId="77777777" w:rsidR="00AF6BAB" w:rsidRPr="00C85C75" w:rsidRDefault="00AF6BAB" w:rsidP="00AF6BAB">
      <w:pPr>
        <w:rPr>
          <w:sz w:val="24"/>
          <w:szCs w:val="24"/>
        </w:rPr>
      </w:pPr>
    </w:p>
    <w:p w14:paraId="378D9C5F" w14:textId="77777777" w:rsidR="00AF6BAB" w:rsidRPr="00C85C75" w:rsidRDefault="00AF6BAB" w:rsidP="00AF6BAB">
      <w:pPr>
        <w:rPr>
          <w:b/>
          <w:bCs/>
          <w:sz w:val="24"/>
          <w:szCs w:val="24"/>
        </w:rPr>
      </w:pPr>
      <w:r w:rsidRPr="00C85C75">
        <w:rPr>
          <w:b/>
          <w:bCs/>
          <w:sz w:val="24"/>
          <w:szCs w:val="24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1345"/>
      </w:tblGrid>
      <w:tr w:rsidR="00AF6BAB" w14:paraId="17CD7CD4" w14:textId="77777777" w:rsidTr="00A02D40">
        <w:tc>
          <w:tcPr>
            <w:tcW w:w="9445" w:type="dxa"/>
          </w:tcPr>
          <w:p w14:paraId="4EB4B264" w14:textId="77777777" w:rsidR="00AF6BAB" w:rsidRPr="00C85C75" w:rsidRDefault="00AF6BAB" w:rsidP="00A02D40">
            <w:pPr>
              <w:rPr>
                <w:sz w:val="24"/>
                <w:szCs w:val="24"/>
              </w:rPr>
            </w:pPr>
            <w:r w:rsidRPr="00C85C75">
              <w:rPr>
                <w:sz w:val="24"/>
                <w:szCs w:val="24"/>
              </w:rPr>
              <w:t xml:space="preserve">Percentage of </w:t>
            </w:r>
            <w:r>
              <w:rPr>
                <w:sz w:val="24"/>
                <w:szCs w:val="24"/>
              </w:rPr>
              <w:t xml:space="preserve">all </w:t>
            </w:r>
            <w:r w:rsidRPr="00C85C75">
              <w:rPr>
                <w:sz w:val="24"/>
                <w:szCs w:val="24"/>
              </w:rPr>
              <w:t>graduates obtaining professional planning, planning-related, or other positions within 12 months of graduation, graduating class of 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</w:tcPr>
          <w:p w14:paraId="052C83EB" w14:textId="77777777" w:rsidR="00AF6BAB" w:rsidRDefault="00AF6BAB" w:rsidP="00A02D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C85C75">
              <w:rPr>
                <w:sz w:val="24"/>
                <w:szCs w:val="24"/>
              </w:rPr>
              <w:t>%</w:t>
            </w:r>
          </w:p>
        </w:tc>
      </w:tr>
    </w:tbl>
    <w:p w14:paraId="0EC18D48" w14:textId="77777777" w:rsidR="002A1B58" w:rsidRDefault="002A1B58"/>
    <w:sectPr w:rsidR="002A1B58">
      <w:pgSz w:w="12240" w:h="15840"/>
      <w:pgMar w:top="10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1F"/>
    <w:rsid w:val="00063C42"/>
    <w:rsid w:val="00074659"/>
    <w:rsid w:val="000A5002"/>
    <w:rsid w:val="002A1B58"/>
    <w:rsid w:val="00405FF7"/>
    <w:rsid w:val="0046641F"/>
    <w:rsid w:val="00614CB7"/>
    <w:rsid w:val="00660BE8"/>
    <w:rsid w:val="00895CD6"/>
    <w:rsid w:val="00907B72"/>
    <w:rsid w:val="009414E6"/>
    <w:rsid w:val="00A14272"/>
    <w:rsid w:val="00A147D5"/>
    <w:rsid w:val="00AF6BAB"/>
    <w:rsid w:val="00B6648F"/>
    <w:rsid w:val="00C9497E"/>
    <w:rsid w:val="00CE360B"/>
    <w:rsid w:val="00D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CE5"/>
  <w15:docId w15:val="{F46FD1BA-5361-47BD-96FC-CBCAEF1F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10"/>
    </w:pPr>
  </w:style>
  <w:style w:type="table" w:styleId="TableGrid">
    <w:name w:val="Table Grid"/>
    <w:basedOn w:val="TableNormal"/>
    <w:uiPriority w:val="39"/>
    <w:rsid w:val="00DE0AB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A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7D2BE9E36E446BE11DB1D83473682" ma:contentTypeVersion="19" ma:contentTypeDescription="Create a new document." ma:contentTypeScope="" ma:versionID="bdd0bfd54524b58cbd676ff10631c576">
  <xsd:schema xmlns:xsd="http://www.w3.org/2001/XMLSchema" xmlns:xs="http://www.w3.org/2001/XMLSchema" xmlns:p="http://schemas.microsoft.com/office/2006/metadata/properties" xmlns:ns2="1063c6df-d75f-4a03-b110-468acd111d05" xmlns:ns3="afb043c1-c4ee-4832-b3ff-a423662c410e" targetNamespace="http://schemas.microsoft.com/office/2006/metadata/properties" ma:root="true" ma:fieldsID="bef335e48c1ec91129e0a73abf3d1e69" ns2:_="" ns3:_="">
    <xsd:import namespace="1063c6df-d75f-4a03-b110-468acd111d05"/>
    <xsd:import namespace="afb043c1-c4ee-4832-b3ff-a423662c4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3c6df-d75f-4a03-b110-468acd111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43c1-c4ee-4832-b3ff-a423662c41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c0439c-1ab2-4d96-b3ee-1d08a75efcec}" ma:internalName="TaxCatchAll" ma:showField="CatchAllData" ma:web="afb043c1-c4ee-4832-b3ff-a423662c4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63c6df-d75f-4a03-b110-468acd111d05">
      <Terms xmlns="http://schemas.microsoft.com/office/infopath/2007/PartnerControls"/>
    </lcf76f155ced4ddcb4097134ff3c332f>
    <TaxCatchAll xmlns="afb043c1-c4ee-4832-b3ff-a423662c410e" xsi:nil="true"/>
  </documentManagement>
</p:properties>
</file>

<file path=customXml/itemProps1.xml><?xml version="1.0" encoding="utf-8"?>
<ds:datastoreItem xmlns:ds="http://schemas.openxmlformats.org/officeDocument/2006/customXml" ds:itemID="{377FF5EA-2EED-45F8-9109-D9D79FB3CC84}"/>
</file>

<file path=customXml/itemProps2.xml><?xml version="1.0" encoding="utf-8"?>
<ds:datastoreItem xmlns:ds="http://schemas.openxmlformats.org/officeDocument/2006/customXml" ds:itemID="{AB041994-1044-40D0-A313-382DFDA4C37D}"/>
</file>

<file path=customXml/itemProps3.xml><?xml version="1.0" encoding="utf-8"?>
<ds:datastoreItem xmlns:ds="http://schemas.openxmlformats.org/officeDocument/2006/customXml" ds:itemID="{52115637-62AC-4D09-B333-CDF0D87EBB70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588</Words>
  <Characters>3493</Characters>
  <Application>Microsoft Office Word</Application>
  <DocSecurity>0</DocSecurity>
  <Lines>113</Lines>
  <Paragraphs>70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PAB1</dc:creator>
  <cp:lastModifiedBy>Kotval, Zenia</cp:lastModifiedBy>
  <cp:revision>13</cp:revision>
  <dcterms:created xsi:type="dcterms:W3CDTF">2025-12-03T15:40:00Z</dcterms:created>
  <dcterms:modified xsi:type="dcterms:W3CDTF">2025-12-16T19:45:00Z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2025-12-03T00:00:00Z</vt:filetime>
  </property>
  <property fmtid="{D5CDD505-2E9C-101B-9397-08002B2CF9AE}" pid="5" name="ContentTypeId">
    <vt:lpwstr>0x010100DE87D2BE9E36E446BE11DB1D83473682</vt:lpwstr>
  </property>
</Properties>
</file>